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E58" w:rsidRPr="006249BE" w:rsidRDefault="00461E58" w:rsidP="00461E58">
      <w:pPr>
        <w:jc w:val="center"/>
        <w:rPr>
          <w:szCs w:val="28"/>
          <w:lang w:val="kk-KZ"/>
        </w:rPr>
      </w:pPr>
      <w:r w:rsidRPr="006249BE">
        <w:rPr>
          <w:szCs w:val="28"/>
          <w:lang w:val="kk-KZ"/>
        </w:rPr>
        <w:t xml:space="preserve">14 </w:t>
      </w:r>
      <w:r w:rsidRPr="006249BE">
        <w:rPr>
          <w:szCs w:val="28"/>
        </w:rPr>
        <w:t xml:space="preserve">СУТЬ ВЫЧИСЛЕНИЙ ДЛЯ ВИЗУАЛЬНОГО АНАЛИЗА ДАННЫХ </w:t>
      </w:r>
      <w:r w:rsidRPr="006249BE">
        <w:rPr>
          <w:szCs w:val="28"/>
          <w:lang w:val="kk-KZ"/>
        </w:rPr>
        <w:t xml:space="preserve"> </w:t>
      </w:r>
      <w:r w:rsidRPr="006249BE">
        <w:rPr>
          <w:szCs w:val="28"/>
        </w:rPr>
        <w:t>РЕАГИРОВАНИЯ НА ЧС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Для решения задач контроля и прогнозирования динамики развития окружающей среды в большинстве стран мирового сообщества создаются системы. Система наблюдений, оценки и прогноз изменения состояний окружающей среды при ЧС является чрезвычайно важной составной частью экологического мониторинга.</w:t>
      </w:r>
    </w:p>
    <w:p w:rsidR="00461E58" w:rsidRPr="00082337" w:rsidRDefault="00461E58" w:rsidP="00461E58">
      <w:pPr>
        <w:ind w:firstLine="709"/>
        <w:jc w:val="both"/>
        <w:rPr>
          <w:snapToGrid w:val="0"/>
          <w:szCs w:val="28"/>
        </w:rPr>
      </w:pPr>
      <w:r w:rsidRPr="00082337">
        <w:rPr>
          <w:snapToGrid w:val="0"/>
          <w:szCs w:val="28"/>
        </w:rPr>
        <w:t>Для осуществления заблаговременного прогноза необходимо собрать информацию: о возможном источнике катастрофы; об условиях, в которых он пребывает; о среде, в которой он находится и через которую будет передаваться; об объектах воздействия.</w:t>
      </w:r>
    </w:p>
    <w:p w:rsidR="00461E58" w:rsidRPr="00082337" w:rsidRDefault="00461E58" w:rsidP="00461E58">
      <w:pPr>
        <w:pStyle w:val="2"/>
        <w:spacing w:after="0" w:line="240" w:lineRule="auto"/>
        <w:ind w:left="0" w:firstLine="709"/>
        <w:jc w:val="both"/>
        <w:rPr>
          <w:snapToGrid w:val="0"/>
          <w:szCs w:val="28"/>
        </w:rPr>
      </w:pPr>
      <w:r w:rsidRPr="00082337">
        <w:rPr>
          <w:snapToGrid w:val="0"/>
          <w:szCs w:val="28"/>
        </w:rPr>
        <w:t>Возможный источник катастрофы природного и техногенного происхождения характеризуется возможными: координатами (</w:t>
      </w:r>
      <w:r w:rsidRPr="00082337">
        <w:rPr>
          <w:snapToGrid w:val="0"/>
          <w:szCs w:val="28"/>
          <w:lang w:val="en-US"/>
        </w:rPr>
        <w:t>x</w:t>
      </w:r>
      <w:r w:rsidRPr="00082337">
        <w:rPr>
          <w:snapToGrid w:val="0"/>
          <w:szCs w:val="28"/>
        </w:rPr>
        <w:t xml:space="preserve">, </w:t>
      </w:r>
      <w:r w:rsidRPr="00082337">
        <w:rPr>
          <w:snapToGrid w:val="0"/>
          <w:szCs w:val="28"/>
          <w:lang w:val="en-US"/>
        </w:rPr>
        <w:t>y</w:t>
      </w:r>
      <w:r w:rsidRPr="00082337">
        <w:rPr>
          <w:snapToGrid w:val="0"/>
          <w:szCs w:val="28"/>
        </w:rPr>
        <w:t xml:space="preserve">, </w:t>
      </w:r>
      <w:r w:rsidRPr="00082337">
        <w:rPr>
          <w:snapToGrid w:val="0"/>
          <w:szCs w:val="28"/>
          <w:lang w:val="en-US"/>
        </w:rPr>
        <w:t>z</w:t>
      </w:r>
      <w:r w:rsidRPr="00082337">
        <w:rPr>
          <w:snapToGrid w:val="0"/>
          <w:szCs w:val="28"/>
        </w:rPr>
        <w:t>); максимальными, минимальными и средними значениями мощностей катастроф за многолетние периоды наблюдений в данном регионе; состоянием (жидким, газообразным, твердым); механикой освобождения энергии в результате воздействия различных факторов. Эту информацию могут дать карты районирования, каталоги, модели, показывающие механизмы освобождения энергии.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Для ДЗ Земли  с ИСЗ используются два основных типа спутников: геостационарные и полярноорбитальные (с высотой орбиты Н-36 тыс. км и около 1000 км, соответственно). </w:t>
      </w:r>
    </w:p>
    <w:p w:rsidR="00461E58" w:rsidRPr="00082337" w:rsidRDefault="00461E58" w:rsidP="00461E58">
      <w:pPr>
        <w:ind w:firstLine="709"/>
        <w:jc w:val="both"/>
        <w:rPr>
          <w:snapToGrid w:val="0"/>
          <w:szCs w:val="28"/>
        </w:rPr>
      </w:pPr>
      <w:r w:rsidRPr="00082337">
        <w:rPr>
          <w:snapToGrid w:val="0"/>
          <w:szCs w:val="28"/>
        </w:rPr>
        <w:t>Съёмочная аппаратура ДЗЗ, как правило, работает в четырёх основных спектральных интервалах: ультрафиолетовом  (УФ/</w:t>
      </w:r>
      <w:r w:rsidRPr="00082337">
        <w:rPr>
          <w:snapToGrid w:val="0"/>
          <w:szCs w:val="28"/>
          <w:lang w:val="en-US"/>
        </w:rPr>
        <w:t>UV</w:t>
      </w:r>
      <w:r w:rsidRPr="00082337">
        <w:rPr>
          <w:snapToGrid w:val="0"/>
          <w:szCs w:val="28"/>
        </w:rPr>
        <w:t xml:space="preserve">   0.01-0.4 мкм) видимом (вид. /</w:t>
      </w:r>
      <w:r w:rsidRPr="00082337">
        <w:rPr>
          <w:snapToGrid w:val="0"/>
          <w:szCs w:val="28"/>
          <w:lang w:val="en-US"/>
        </w:rPr>
        <w:t>VIS</w:t>
      </w:r>
      <w:r w:rsidRPr="00082337">
        <w:rPr>
          <w:snapToGrid w:val="0"/>
          <w:szCs w:val="28"/>
        </w:rPr>
        <w:t xml:space="preserve">  0.4 - 0.74 мкм) инфракрасном (ИК/ </w:t>
      </w:r>
      <w:r w:rsidRPr="00082337">
        <w:rPr>
          <w:snapToGrid w:val="0"/>
          <w:szCs w:val="28"/>
          <w:lang w:val="en-US"/>
        </w:rPr>
        <w:t>IR</w:t>
      </w:r>
      <w:r w:rsidRPr="00082337">
        <w:rPr>
          <w:snapToGrid w:val="0"/>
          <w:szCs w:val="28"/>
        </w:rPr>
        <w:t xml:space="preserve">  0.74-12 мкм),микроволновом (МВ/ </w:t>
      </w:r>
      <w:r w:rsidRPr="00082337">
        <w:rPr>
          <w:snapToGrid w:val="0"/>
          <w:szCs w:val="28"/>
          <w:lang w:val="en-US"/>
        </w:rPr>
        <w:t>MW</w:t>
      </w:r>
      <w:r w:rsidRPr="00082337">
        <w:rPr>
          <w:snapToGrid w:val="0"/>
          <w:szCs w:val="28"/>
        </w:rPr>
        <w:t xml:space="preserve"> 10-1000 мм) СВЧ. Существует также многоканальная спектральная аппаратура высокого разрешения в тех областях спектра, где земная атмосфера прозрачна для электромагнитных волн. Следует отметить, что ИК и МВ – съёмку в окнах прозрачности атмосферы можно проводить в тёмное время суток, а в микроволновом диапазоне -даже при наличии облачности.</w:t>
      </w:r>
    </w:p>
    <w:p w:rsidR="00461E58" w:rsidRDefault="00461E58" w:rsidP="00461E58">
      <w:pPr>
        <w:pStyle w:val="2"/>
        <w:spacing w:after="0" w:line="240" w:lineRule="auto"/>
        <w:ind w:left="0" w:firstLine="709"/>
        <w:jc w:val="both"/>
        <w:rPr>
          <w:b/>
          <w:szCs w:val="28"/>
          <w:lang w:val="kk-KZ"/>
        </w:rPr>
      </w:pPr>
    </w:p>
    <w:p w:rsidR="00461E58" w:rsidRPr="00082337" w:rsidRDefault="00461E58" w:rsidP="00461E58">
      <w:pPr>
        <w:pStyle w:val="2"/>
        <w:spacing w:after="0" w:line="240" w:lineRule="auto"/>
        <w:ind w:left="0"/>
        <w:jc w:val="center"/>
        <w:rPr>
          <w:b/>
          <w:szCs w:val="28"/>
        </w:rPr>
      </w:pPr>
      <w:r w:rsidRPr="00082337">
        <w:rPr>
          <w:b/>
          <w:szCs w:val="28"/>
        </w:rPr>
        <w:t>14.1 Регистрация ядерных аварий на основе аэрокосмических средств</w:t>
      </w:r>
    </w:p>
    <w:p w:rsidR="00461E58" w:rsidRDefault="00461E58" w:rsidP="00461E58">
      <w:pPr>
        <w:shd w:val="clear" w:color="auto" w:fill="FFFFFF"/>
        <w:ind w:firstLine="709"/>
        <w:jc w:val="both"/>
        <w:rPr>
          <w:spacing w:val="-14"/>
          <w:szCs w:val="28"/>
          <w:lang w:val="kk-KZ"/>
        </w:rPr>
      </w:pP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pacing w:val="-14"/>
          <w:szCs w:val="28"/>
        </w:rPr>
        <w:t>Для второй половины 20-го и начала 21 века характерен вид специфи</w:t>
      </w:r>
      <w:r w:rsidRPr="00082337">
        <w:rPr>
          <w:spacing w:val="-14"/>
          <w:szCs w:val="28"/>
        </w:rPr>
        <w:softHyphen/>
        <w:t>ческих аварий, связанных с выбросом радиоактивных веществ и загряз</w:t>
      </w:r>
      <w:r w:rsidRPr="00082337">
        <w:rPr>
          <w:spacing w:val="-14"/>
          <w:szCs w:val="28"/>
        </w:rPr>
        <w:softHyphen/>
      </w:r>
      <w:r w:rsidRPr="00082337">
        <w:rPr>
          <w:spacing w:val="-17"/>
          <w:szCs w:val="28"/>
        </w:rPr>
        <w:t xml:space="preserve">нением ими окружающей среды. Подобные аварии происходили в океане </w:t>
      </w:r>
      <w:r w:rsidRPr="00082337">
        <w:rPr>
          <w:spacing w:val="-15"/>
          <w:szCs w:val="28"/>
        </w:rPr>
        <w:t xml:space="preserve">(на атомных подводных лодках),  в космосе (на ИСЗ) и наиболее часто — </w:t>
      </w:r>
      <w:r w:rsidRPr="00082337">
        <w:rPr>
          <w:spacing w:val="-6"/>
          <w:szCs w:val="28"/>
        </w:rPr>
        <w:t xml:space="preserve">на земле (на АЭС и различных, чаще всего военных предприятиях). </w:t>
      </w:r>
    </w:p>
    <w:p w:rsidR="00461E58" w:rsidRPr="00082337" w:rsidRDefault="00461E58" w:rsidP="00461E58">
      <w:pPr>
        <w:pStyle w:val="2"/>
        <w:spacing w:after="0" w:line="240" w:lineRule="auto"/>
        <w:ind w:left="0" w:firstLine="709"/>
        <w:jc w:val="both"/>
        <w:rPr>
          <w:szCs w:val="28"/>
        </w:rPr>
      </w:pPr>
      <w:r w:rsidRPr="00082337">
        <w:rPr>
          <w:szCs w:val="28"/>
        </w:rPr>
        <w:t xml:space="preserve">Крупнейшая ядерная катастрофа на Чернобыльской атомной станции (ЧАЭС)  была зафиксирована  в момент взрыва с ИСЗ DMSP по яркой вспышке. На 1-ой стадии аварии имело место повышение температуры до 1800-2000 К, что и было обнаружено по данным ИК -тепловой съёмки с ИСЗ NOAA-9 и Landsat–5 на </w:t>
      </w:r>
      <w:r w:rsidRPr="00082337">
        <w:rPr>
          <w:szCs w:val="28"/>
        </w:rPr>
        <w:sym w:font="Symbol" w:char="F06C"/>
      </w:r>
      <w:r w:rsidRPr="00082337">
        <w:rPr>
          <w:szCs w:val="28"/>
        </w:rPr>
        <w:t xml:space="preserve">-3.7 мкм. Карта радиоактивных загрязнений от 12 </w:t>
      </w:r>
      <w:r w:rsidRPr="00082337">
        <w:rPr>
          <w:szCs w:val="28"/>
        </w:rPr>
        <w:lastRenderedPageBreak/>
        <w:t>мая 1986 г, составленная с помощью космических средств (КН-11 и др.) свидетельствует, что поля загрязнений с разной степенью интенсивности покрыли всю европейскую территорию вплоть до Португалии.</w:t>
      </w:r>
    </w:p>
    <w:p w:rsidR="00461E58" w:rsidRPr="00082337" w:rsidRDefault="00461E58" w:rsidP="00461E58">
      <w:pPr>
        <w:pStyle w:val="2"/>
        <w:spacing w:after="0" w:line="240" w:lineRule="auto"/>
        <w:ind w:left="0" w:firstLine="709"/>
        <w:jc w:val="both"/>
        <w:rPr>
          <w:szCs w:val="28"/>
        </w:rPr>
      </w:pPr>
      <w:r w:rsidRPr="00082337">
        <w:rPr>
          <w:szCs w:val="28"/>
        </w:rPr>
        <w:t xml:space="preserve">Радиоактивные загрязнения местности коррелируют с зонами определённой геологической структуры - в местах расположения трещин (разломов) с близким залеганием плотных горных пород, где происходит усиление гравитационных сил. Разломы отчётливо прослеживаются на космических изображениях, отображаясь в прямолинейных очертаниях различных элементов ландшафта (гряд, участков рек, долин и т.д.). Регулярные натурные измерения и аэрогамма-съёмка с самолётов и вертолётов позволили получить большой набор карт-схем  загрязнения местности (мощность дозы и плотность загрязнения различными изотопами), начиная с первых дней  после аварии до настоящего времени. Этот набор данных позволяет восстанавливать картину загрязнения местности практически на любой момент времени и рассчитать дозу внешнего и внутреннего облучения за необходимый интервал времени. </w:t>
      </w:r>
    </w:p>
    <w:p w:rsidR="00461E58" w:rsidRPr="00082337" w:rsidRDefault="00461E58" w:rsidP="00461E58">
      <w:pPr>
        <w:pStyle w:val="2"/>
        <w:spacing w:after="0" w:line="240" w:lineRule="auto"/>
        <w:ind w:left="0" w:firstLine="709"/>
        <w:jc w:val="both"/>
        <w:rPr>
          <w:szCs w:val="28"/>
        </w:rPr>
      </w:pPr>
      <w:r w:rsidRPr="00082337">
        <w:rPr>
          <w:szCs w:val="28"/>
        </w:rPr>
        <w:t>О ядерных авариях, работе с радиоактивными материалами, в частности с целью производства оружейного плутония, можно судить по косвенным признакам, например, по регистрации с ИСЗ газа криптона и другим  косвенным следам радиоактивного загрязнения с использованием других носителей со специально оборудованных самолётов, судов, подводных  и наземных роботизированных аппаратов.</w:t>
      </w:r>
    </w:p>
    <w:p w:rsidR="00461E58" w:rsidRPr="00082337" w:rsidRDefault="00461E58" w:rsidP="00461E58">
      <w:pPr>
        <w:pStyle w:val="2"/>
        <w:spacing w:after="0" w:line="240" w:lineRule="auto"/>
        <w:ind w:left="0" w:firstLine="709"/>
        <w:jc w:val="both"/>
        <w:rPr>
          <w:szCs w:val="28"/>
        </w:rPr>
      </w:pPr>
      <w:r w:rsidRPr="00082337">
        <w:rPr>
          <w:szCs w:val="28"/>
        </w:rPr>
        <w:t>Расширение зон тер</w:t>
      </w:r>
      <w:r w:rsidRPr="00082337">
        <w:rPr>
          <w:szCs w:val="28"/>
        </w:rPr>
        <w:softHyphen/>
        <w:t>риторий радиоактивных  загрязнений сужает жизненное про</w:t>
      </w:r>
      <w:r w:rsidRPr="00082337">
        <w:rPr>
          <w:szCs w:val="28"/>
        </w:rPr>
        <w:softHyphen/>
        <w:t xml:space="preserve">странство, поэтому комплексный мониторинг окружающей среды, наряду с совершенствованием ядерных технологий является одним из непременных условий контроля  безопасной жизнедеятельности в 21-ом веке. </w:t>
      </w:r>
    </w:p>
    <w:p w:rsidR="00461E58" w:rsidRDefault="00461E58" w:rsidP="00461E58">
      <w:pPr>
        <w:pStyle w:val="1"/>
        <w:ind w:firstLine="709"/>
        <w:jc w:val="both"/>
        <w:rPr>
          <w:szCs w:val="28"/>
          <w:lang w:val="kk-KZ"/>
        </w:rPr>
      </w:pPr>
    </w:p>
    <w:p w:rsidR="00461E58" w:rsidRPr="00082337" w:rsidRDefault="00461E58" w:rsidP="00461E58">
      <w:pPr>
        <w:pStyle w:val="1"/>
        <w:jc w:val="center"/>
        <w:rPr>
          <w:szCs w:val="28"/>
        </w:rPr>
      </w:pPr>
      <w:r w:rsidRPr="00082337">
        <w:rPr>
          <w:szCs w:val="28"/>
        </w:rPr>
        <w:t>14.2 Аварийные разливы нефти</w:t>
      </w:r>
    </w:p>
    <w:p w:rsidR="00461E58" w:rsidRDefault="00461E58" w:rsidP="00461E58">
      <w:pPr>
        <w:pStyle w:val="2"/>
        <w:spacing w:after="0" w:line="240" w:lineRule="auto"/>
        <w:ind w:left="0" w:firstLine="709"/>
        <w:jc w:val="both"/>
        <w:rPr>
          <w:spacing w:val="2"/>
          <w:szCs w:val="28"/>
          <w:lang w:val="kk-KZ"/>
        </w:rPr>
      </w:pPr>
    </w:p>
    <w:p w:rsidR="00461E58" w:rsidRPr="00082337" w:rsidRDefault="00461E58" w:rsidP="00461E58">
      <w:pPr>
        <w:pStyle w:val="2"/>
        <w:spacing w:after="0" w:line="240" w:lineRule="auto"/>
        <w:ind w:left="0" w:firstLine="709"/>
        <w:jc w:val="both"/>
        <w:rPr>
          <w:szCs w:val="28"/>
        </w:rPr>
      </w:pPr>
      <w:r w:rsidRPr="00082337">
        <w:rPr>
          <w:spacing w:val="2"/>
          <w:szCs w:val="28"/>
        </w:rPr>
        <w:t xml:space="preserve"> </w:t>
      </w:r>
      <w:r w:rsidRPr="00082337">
        <w:rPr>
          <w:szCs w:val="28"/>
        </w:rPr>
        <w:t>Одна из первых зарегистрированных из космоса крупных аварий связана с нефтяной скважиной Икцток-1 вблизи острова Юкатан в Мексиканском заливе, когда в июне 1979 г. ежедневно в акваторию выливалось более 4 тыс.т нефти и при этом удалось выявить особенности распространения нефтяных загрязнений. Комплексные исследования с самолётов и ИСЗ (</w:t>
      </w:r>
      <w:r w:rsidRPr="00082337">
        <w:rPr>
          <w:szCs w:val="28"/>
          <w:lang w:val="en-US"/>
        </w:rPr>
        <w:t>GOES</w:t>
      </w:r>
      <w:r w:rsidRPr="00082337">
        <w:rPr>
          <w:szCs w:val="28"/>
        </w:rPr>
        <w:t xml:space="preserve">, </w:t>
      </w:r>
      <w:r w:rsidRPr="00082337">
        <w:rPr>
          <w:szCs w:val="28"/>
          <w:lang w:val="en-US"/>
        </w:rPr>
        <w:t>Nimbus</w:t>
      </w:r>
      <w:r w:rsidRPr="00082337">
        <w:rPr>
          <w:szCs w:val="28"/>
        </w:rPr>
        <w:t xml:space="preserve">-7, </w:t>
      </w:r>
      <w:r w:rsidRPr="00082337">
        <w:rPr>
          <w:szCs w:val="28"/>
          <w:lang w:val="en-US"/>
        </w:rPr>
        <w:t>Niros</w:t>
      </w:r>
      <w:r w:rsidRPr="00082337">
        <w:rPr>
          <w:szCs w:val="28"/>
        </w:rPr>
        <w:t>-</w:t>
      </w:r>
      <w:r w:rsidRPr="00082337">
        <w:rPr>
          <w:szCs w:val="28"/>
          <w:lang w:val="en-US"/>
        </w:rPr>
        <w:t>N</w:t>
      </w:r>
      <w:r w:rsidRPr="00082337">
        <w:rPr>
          <w:szCs w:val="28"/>
        </w:rPr>
        <w:t xml:space="preserve">, </w:t>
      </w:r>
      <w:r w:rsidRPr="00082337">
        <w:rPr>
          <w:szCs w:val="28"/>
          <w:lang w:val="en-US"/>
        </w:rPr>
        <w:t>Landsat</w:t>
      </w:r>
      <w:r w:rsidRPr="00082337">
        <w:rPr>
          <w:szCs w:val="28"/>
        </w:rPr>
        <w:t>-3) показали, что для обнаружения разливов нефти  наиболее удобны  съёмки с помощью аппаратуры высокого пространственного разрешения в ультрафиолетовой и синей ча</w:t>
      </w:r>
      <w:r w:rsidRPr="00082337">
        <w:rPr>
          <w:szCs w:val="28"/>
          <w:lang w:val="en-US"/>
        </w:rPr>
        <w:t>c</w:t>
      </w:r>
      <w:r w:rsidRPr="00082337">
        <w:rPr>
          <w:szCs w:val="28"/>
        </w:rPr>
        <w:t>ти спектра и  в меньшей степени  в ближней ИК области длин волн. Нефтяные пятна распознаются также по температурному контрасту с фоном при съёмке  в тепловой ИК-части спектра.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Свежие разливы выделяются на снимке достаточно легко, так как они имеют открытую нефтяную поверхность, а глубина нефтяного слоя может достигать нескольких десятков сантиметров. Ситуация со старыми разливами существенно являются более сложными, так как они представлены на снимке контурами со сложной внутренней структурой и с различными значениями </w:t>
      </w:r>
      <w:r w:rsidRPr="00082337">
        <w:rPr>
          <w:szCs w:val="28"/>
        </w:rPr>
        <w:lastRenderedPageBreak/>
        <w:t xml:space="preserve">яркости в разных каналах. Работы по дешифрированию спектрозональных космических снимков  LANDSAT-7 позволяют  составить карты нефтяных </w:t>
      </w:r>
      <w:bookmarkStart w:id="0" w:name="_Hlt53475522"/>
      <w:r w:rsidRPr="00082337">
        <w:rPr>
          <w:szCs w:val="28"/>
        </w:rPr>
        <w:t xml:space="preserve">разливов. Для дешифрирования использовался программный пакет ERDAS IMAGINE. </w:t>
      </w:r>
      <w:bookmarkEnd w:id="0"/>
      <w:r w:rsidRPr="00082337">
        <w:rPr>
          <w:szCs w:val="28"/>
        </w:rPr>
        <w:t xml:space="preserve">Микроволновые радиометрические методы широко используются при дистанционном зондировании суши атмосферы и океана. Важное достоинство спутниковых микроволновых методов перед оптическими и инфракрасными методами состоит в возможности проводить круглосуточные всепогодные измерения. Способность микроволновых методов получать информацию о природных объектах в любое время суток и при любой погоде объясняет значительное внимание, которое уделяется этим методам в программах исследования Земли из космоса, в том числе в космических программах изучения океана. Регистрироваться может собственное излучение объектов и отраженное излучение других источников. Этими источниками могут быть Солнце или сама съемочная аппаратура. В последнем случае используется когерентное излучение (радары, сонары и лазеры), что позволяет регистрировать не только интенсивность излучения, но также и его поляризацию, фазу и доплеровское смещение, что дает дополнительную информацию. 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</w:p>
    <w:p w:rsidR="00461E58" w:rsidRPr="00082337" w:rsidRDefault="00461E58" w:rsidP="00461E58">
      <w:pPr>
        <w:pStyle w:val="a3"/>
        <w:spacing w:before="0" w:after="0"/>
        <w:jc w:val="center"/>
        <w:rPr>
          <w:sz w:val="28"/>
          <w:szCs w:val="28"/>
        </w:rPr>
      </w:pPr>
      <w:r w:rsidRPr="00082337">
        <w:rPr>
          <w:noProof/>
          <w:sz w:val="28"/>
          <w:szCs w:val="28"/>
        </w:rPr>
        <w:drawing>
          <wp:inline distT="0" distB="0" distL="0" distR="0">
            <wp:extent cx="2861945" cy="2007235"/>
            <wp:effectExtent l="19050" t="0" r="0" b="0"/>
            <wp:docPr id="3" name="Рисунок 3" descr="3_ku_oil_ri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_ku_oil_rig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2007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E58" w:rsidRPr="00082337" w:rsidRDefault="00461E58" w:rsidP="00461E58">
      <w:pPr>
        <w:pStyle w:val="a3"/>
        <w:spacing w:before="0" w:after="0"/>
        <w:ind w:firstLine="709"/>
        <w:jc w:val="both"/>
        <w:rPr>
          <w:sz w:val="28"/>
          <w:szCs w:val="28"/>
        </w:rPr>
      </w:pPr>
    </w:p>
    <w:p w:rsidR="00461E58" w:rsidRPr="00082337" w:rsidRDefault="00461E58" w:rsidP="00461E58">
      <w:pPr>
        <w:pStyle w:val="a3"/>
        <w:spacing w:before="0" w:after="0"/>
        <w:ind w:firstLine="709"/>
        <w:jc w:val="center"/>
        <w:rPr>
          <w:sz w:val="28"/>
          <w:szCs w:val="28"/>
        </w:rPr>
      </w:pPr>
      <w:r w:rsidRPr="00082337">
        <w:rPr>
          <w:sz w:val="28"/>
          <w:szCs w:val="28"/>
        </w:rPr>
        <w:t>Рисунок 14.1 - Радарные снимки позволяют обнаруживать на поверхности воды нефть и нефтепродукты с толщиной пленки от 50 мкм.</w:t>
      </w:r>
    </w:p>
    <w:p w:rsidR="00461E58" w:rsidRPr="00082337" w:rsidRDefault="00461E58" w:rsidP="00461E58">
      <w:pPr>
        <w:pStyle w:val="a3"/>
        <w:spacing w:before="0" w:after="0"/>
        <w:ind w:firstLine="709"/>
        <w:jc w:val="both"/>
        <w:rPr>
          <w:sz w:val="28"/>
          <w:szCs w:val="28"/>
        </w:rPr>
      </w:pP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Такого рода изображения, полученные с ИСЗ, позволяют определить площадь разливов нефти, оценить возможности их распространения по рельефу и риск попадания нефти в реку, облегчают принятие решений</w:t>
      </w:r>
      <w:r w:rsidRPr="00082337">
        <w:rPr>
          <w:spacing w:val="-4"/>
          <w:szCs w:val="28"/>
        </w:rPr>
        <w:t xml:space="preserve"> по локализации и ликвидации последствий подобных катастроф. Обнаружение нефтяных разливов на водной поверхности, более однородной по сравнению с сушей, проще и возможно даже с помощью радарных средств космического мониторинга, несмотря на их худшую разрешающую способность по сравнению со сканерами ИК или видимого диапазона  электромагнитного спектра.</w:t>
      </w:r>
      <w:r w:rsidRPr="00082337">
        <w:rPr>
          <w:szCs w:val="28"/>
        </w:rPr>
        <w:t xml:space="preserve"> Съемка высокого разрешения из космоса до недавнего времени велась почти исключительно в интересах военной разведки, а с воздуха – с целью топографического картографирования. Однако, сегодня уже есть несколько коммерчески доступных космических сенсоров высокого </w:t>
      </w:r>
      <w:r w:rsidRPr="00082337">
        <w:rPr>
          <w:szCs w:val="28"/>
        </w:rPr>
        <w:lastRenderedPageBreak/>
        <w:t xml:space="preserve">разрешения (КВР-1000, IRS, IKONOS), позволяющих проводить пространственный анализ с большей точностью или уточнять результаты анализа при среднем или низком разрешении. </w:t>
      </w:r>
      <w:bookmarkStart w:id="1" w:name="_Hlt53475498"/>
      <w:bookmarkEnd w:id="1"/>
    </w:p>
    <w:p w:rsidR="00461E58" w:rsidRDefault="00461E58" w:rsidP="00461E58">
      <w:pPr>
        <w:shd w:val="clear" w:color="auto" w:fill="FFFFFF"/>
        <w:ind w:firstLine="709"/>
        <w:jc w:val="both"/>
        <w:outlineLvl w:val="0"/>
        <w:rPr>
          <w:b/>
          <w:bCs/>
          <w:kern w:val="36"/>
          <w:szCs w:val="28"/>
          <w:lang w:val="kk-KZ"/>
        </w:rPr>
      </w:pPr>
    </w:p>
    <w:p w:rsidR="00461E58" w:rsidRPr="00082337" w:rsidRDefault="00461E58" w:rsidP="00461E58">
      <w:pPr>
        <w:shd w:val="clear" w:color="auto" w:fill="FFFFFF"/>
        <w:jc w:val="center"/>
        <w:outlineLvl w:val="0"/>
        <w:rPr>
          <w:b/>
          <w:bCs/>
          <w:kern w:val="36"/>
          <w:szCs w:val="28"/>
        </w:rPr>
      </w:pPr>
      <w:r w:rsidRPr="00082337">
        <w:rPr>
          <w:b/>
          <w:bCs/>
          <w:kern w:val="36"/>
          <w:szCs w:val="28"/>
        </w:rPr>
        <w:t>14.3  Информационная поддержка принятия решений в условиях ЧС</w:t>
      </w:r>
    </w:p>
    <w:p w:rsidR="00461E58" w:rsidRDefault="00461E58" w:rsidP="00461E58">
      <w:pPr>
        <w:shd w:val="clear" w:color="auto" w:fill="FFFFFF"/>
        <w:ind w:firstLine="709"/>
        <w:jc w:val="both"/>
        <w:rPr>
          <w:szCs w:val="28"/>
          <w:lang w:val="kk-KZ"/>
        </w:rPr>
      </w:pP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Информация в условиях ЧС становятся основным ресурсом эффективного принятия решений. В условиях ЧС основной проблемой в принятии и реализации эффективных управленческих решений является недостаток информации.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 xml:space="preserve">Степень предсказуемости ЧС очень невелика. Обычно к моменту получения информации, достаточной для выработки эффективных ответных мер, образуется дефицит времени для их реализации. 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На ранних стадиях возникновения опасности ответные меры должны носить общий характер и быть направлены на увеличение стратегической гибкости организации. По мере поступления конкретной, детализированной информации конкретизируются и ответные меры. Заблаговременное наращивание запаса гибкости и адаптивности системы позволяет уменьшить опасность катастрофических потерь на ранних стадиях возникновения ЧС.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 xml:space="preserve">Информационная система в случае ЧС, с одной стороны, должна обеспечивать необходимой информацией структурные подразделения системы управления, а также работу штаба и принятие групповых решений на различных уровнях. С другой стороны, она должна представлять собой систему быстрого развертывания, в которой динамика формирования информационной среды должна соответствовать динамике формирования новых предметных областей. 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Важной проблемой является оценка ценности и установление приоритета поступающей информации. Отправитель зачастую не представляет, насколько важными являются те или иные сведения. Вопрос о ценности информации обычно решается теми, кто ее получает и использует при оценке ситуации.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>Поступающая в штаб информация обрабатывается по четырем основным направлениям: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sym w:font="Symbol" w:char="F02D"/>
      </w:r>
      <w:r w:rsidRPr="00082337">
        <w:rPr>
          <w:szCs w:val="28"/>
        </w:rPr>
        <w:t>         обработка текущей информации,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sym w:font="Symbol" w:char="F02D"/>
      </w:r>
      <w:r w:rsidRPr="00082337">
        <w:rPr>
          <w:szCs w:val="28"/>
        </w:rPr>
        <w:t>         проблемно-функциональное направление;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sym w:font="Symbol" w:char="F02D"/>
      </w:r>
      <w:r w:rsidRPr="00082337">
        <w:rPr>
          <w:szCs w:val="28"/>
        </w:rPr>
        <w:t>         территориальное направление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sym w:font="Symbol" w:char="F02D"/>
      </w:r>
      <w:r w:rsidRPr="00082337">
        <w:rPr>
          <w:szCs w:val="28"/>
        </w:rPr>
        <w:t>         обобщающее направление.</w:t>
      </w:r>
    </w:p>
    <w:p w:rsidR="00461E58" w:rsidRPr="00082337" w:rsidRDefault="00461E58" w:rsidP="00461E58">
      <w:pPr>
        <w:shd w:val="clear" w:color="auto" w:fill="FFFFFF"/>
        <w:ind w:firstLine="709"/>
        <w:jc w:val="both"/>
        <w:rPr>
          <w:szCs w:val="28"/>
        </w:rPr>
      </w:pPr>
      <w:r w:rsidRPr="00082337">
        <w:rPr>
          <w:szCs w:val="28"/>
        </w:rPr>
        <w:t xml:space="preserve">Одно из самых важных направлений информационной работы – оценка, анализ, обобщение всего объема имеющейся информации, касающейся тех или иных событий и прогноза развития ЧС. 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Анализ показывает, что одним из возможных путей оповещения населения об угрозе и возникновении чрезвычайных ситуаций является использование технологий сотовой связи, в том числе с применением услуг рассылки текстовых сообщений.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lastRenderedPageBreak/>
        <w:t xml:space="preserve">Преимуществом применения данных услуг в указанных целях является, во-первых, сокращение времени оповещения. Стандартный цикл действий населения при оповещении включает много отдельных операций и требует значительных временных затрат. 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Во-вторых, преимуществом является и более адресный характер оповещения с помощью технологий сотовой связи. Информация о границах зоны ЧС, характере распространения поражающих факторов (далее – ПФ), их источников позволяет с точностью «до соты» определить территорию охвата населения оповещением, ввести градации территорий оповещения (ближе к очагу поражения – только самая необходимая информация по защите и спасению, дальше – более обширные сведения о правилах поведения при распространении ПФ) (рисунок 14.2).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</w:p>
    <w:p w:rsidR="00461E58" w:rsidRPr="00082337" w:rsidRDefault="00461E58" w:rsidP="00461E58">
      <w:pPr>
        <w:jc w:val="center"/>
        <w:rPr>
          <w:szCs w:val="28"/>
        </w:rPr>
      </w:pPr>
      <w:r w:rsidRPr="00082337">
        <w:rPr>
          <w:noProof/>
          <w:szCs w:val="28"/>
        </w:rPr>
        <w:drawing>
          <wp:inline distT="0" distB="0" distL="0" distR="0">
            <wp:extent cx="4762500" cy="3095625"/>
            <wp:effectExtent l="19050" t="0" r="0" b="0"/>
            <wp:docPr id="1" name="Рисунок 1" descr="Рисунок 1 - Территории зон оповещения с точки зрения воздействия ПФ источника ЧС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унок 1 - Территории зон оповещения с точки зрения воздействия ПФ источника ЧС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E58" w:rsidRPr="00082337" w:rsidRDefault="00461E58" w:rsidP="00461E58">
      <w:pPr>
        <w:ind w:firstLine="709"/>
        <w:jc w:val="center"/>
        <w:rPr>
          <w:szCs w:val="28"/>
        </w:rPr>
      </w:pPr>
      <w:r w:rsidRPr="00082337">
        <w:rPr>
          <w:szCs w:val="28"/>
        </w:rPr>
        <w:br/>
        <w:t>Рисунок 14.2 - Территории зон оповещения с точки зрения воздействия ПФ источника ЧС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В-третьих, это широкий охват населения. Охват населения традиционными средствами оповещения находится пока на очень низком уровне. В то же время средства сотовой связи получили распространение практически у всего населения нашей страны.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Все текстовые сообщения сотовой связи реализуются с помощью таких сервисов, как SMS, Live Screen, Cell Broadcast и др. С точки зрения оповещения принципиальные технические отличия в реализации данных сервисов заключаются в следующем.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Стандартное сообщение сервиса SMS рассылается адресно каждому абоненту сотовой связи с использованием его персонального номера. 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В то же время услуги Live Screen и Cell Broadcast используют не номер абонента, а определенную географическую локацию – соту или группу сот. При этом такие сообщения рассылаются практически мгновенно всем </w:t>
      </w:r>
      <w:r w:rsidRPr="00082337">
        <w:rPr>
          <w:szCs w:val="28"/>
        </w:rPr>
        <w:lastRenderedPageBreak/>
        <w:t>абонентам, находящимся в данной локации, и не загружают основные каналы сотовой связи. Само сообщение отображается на экране телефона и после окончания трансляции исчезает с экрана. Только некоторые модели телефонов поддерживают функцию их дальнейшего хранения и просмотра.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К недостаткам данных услуг можно отнести и слабую их распространенность в нашей стране, и возможность получения только при работающем в данный момент телефоне и некоторые другие.</w:t>
      </w:r>
    </w:p>
    <w:p w:rsidR="00461E58" w:rsidRPr="00082337" w:rsidRDefault="00461E58" w:rsidP="00461E58">
      <w:pPr>
        <w:ind w:firstLine="709"/>
        <w:jc w:val="both"/>
        <w:rPr>
          <w:szCs w:val="28"/>
        </w:rPr>
      </w:pPr>
      <w:r w:rsidRPr="00082337">
        <w:rPr>
          <w:szCs w:val="28"/>
        </w:rPr>
        <w:t>Говоря о зарубежном опыте, следует отметить, что в США на сегодняшний момент завершается тестирование новой системы оповещения с использованием сотовой связи об угрозе природных бедствий. Национальная метеослужба рассылает абонентам на определенной территории специальные текстовые сообщения с предупреждением о возможных ураганах, наводнениях, пылевых бурях и торнадо. Для реализации данных мероприятий правительство США заключило соглашение с крупнейшими сотовыми операторами. В sim-карты телефонов, которые работают на территории страны, имплантируется особый чип. Это позволяет гарантированно довести сообщение до абонента даже в случае нарушения в районе сотовой связи.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461E58"/>
    <w:rsid w:val="00000D30"/>
    <w:rsid w:val="0001425D"/>
    <w:rsid w:val="0005411F"/>
    <w:rsid w:val="00173396"/>
    <w:rsid w:val="001C6D3D"/>
    <w:rsid w:val="00361478"/>
    <w:rsid w:val="00461E58"/>
    <w:rsid w:val="00577776"/>
    <w:rsid w:val="005C299C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E58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61E58"/>
    <w:pPr>
      <w:keepNext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1E5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rsid w:val="00461E5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461E5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uiPriority w:val="99"/>
    <w:rsid w:val="00461E58"/>
    <w:pPr>
      <w:spacing w:before="100" w:after="100"/>
    </w:pPr>
    <w:rPr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461E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1E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lukyanovich.ru/arts/art14/1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1878</Words>
  <Characters>10706</Characters>
  <Application>Microsoft Office Word</Application>
  <DocSecurity>0</DocSecurity>
  <Lines>89</Lines>
  <Paragraphs>25</Paragraphs>
  <ScaleCrop>false</ScaleCrop>
  <Company>EKTU</Company>
  <LinksUpToDate>false</LinksUpToDate>
  <CharactersWithSpaces>12559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2016-10-10T08:27:00Z</dcterms:created>
  <dcterms:modified xsi:type="dcterms:W3CDTF">2016-10-10T08:28:00Z</dcterms:modified>
</cp:coreProperties>
</file>